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34BD" w:rsidRPr="00A54E21" w:rsidRDefault="00660096" w:rsidP="000734BD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A54E21">
        <w:rPr>
          <w:rFonts w:ascii="Arial" w:hAnsi="Arial" w:cs="Arial"/>
          <w:b/>
          <w:bCs/>
          <w:sz w:val="28"/>
          <w:szCs w:val="28"/>
        </w:rPr>
        <w:t>Ultra</w:t>
      </w:r>
      <w:r w:rsidR="0010408D" w:rsidRPr="00A54E21">
        <w:rPr>
          <w:rFonts w:ascii="Arial" w:hAnsi="Arial" w:cs="Arial"/>
          <w:b/>
          <w:bCs/>
          <w:sz w:val="28"/>
          <w:szCs w:val="28"/>
        </w:rPr>
        <w:t>-</w:t>
      </w:r>
      <w:r w:rsidRPr="00A54E21">
        <w:rPr>
          <w:rFonts w:ascii="Arial" w:hAnsi="Arial" w:cs="Arial"/>
          <w:b/>
          <w:bCs/>
          <w:sz w:val="28"/>
          <w:szCs w:val="28"/>
        </w:rPr>
        <w:t xml:space="preserve">sensitive </w:t>
      </w:r>
      <w:r w:rsidR="000734BD" w:rsidRPr="00A54E21">
        <w:rPr>
          <w:rFonts w:ascii="Arial" w:hAnsi="Arial" w:cs="Arial"/>
          <w:b/>
          <w:sz w:val="28"/>
          <w:szCs w:val="28"/>
        </w:rPr>
        <w:t xml:space="preserve">localized surface </w:t>
      </w:r>
      <w:proofErr w:type="spellStart"/>
      <w:r w:rsidR="000734BD" w:rsidRPr="00A54E21">
        <w:rPr>
          <w:rFonts w:ascii="Arial" w:hAnsi="Arial" w:cs="Arial"/>
          <w:b/>
          <w:sz w:val="28"/>
          <w:szCs w:val="28"/>
        </w:rPr>
        <w:t>plasmon</w:t>
      </w:r>
      <w:proofErr w:type="spellEnd"/>
      <w:r w:rsidR="000734BD" w:rsidRPr="00A54E21">
        <w:rPr>
          <w:rFonts w:ascii="Arial" w:hAnsi="Arial" w:cs="Arial"/>
          <w:b/>
          <w:sz w:val="28"/>
          <w:szCs w:val="28"/>
        </w:rPr>
        <w:t xml:space="preserve"> resonance based </w:t>
      </w:r>
      <w:proofErr w:type="spellStart"/>
      <w:r w:rsidR="000734BD" w:rsidRPr="00A54E21">
        <w:rPr>
          <w:rFonts w:ascii="Arial" w:hAnsi="Arial" w:cs="Arial"/>
          <w:b/>
          <w:sz w:val="28"/>
          <w:szCs w:val="28"/>
        </w:rPr>
        <w:t>immunosensor</w:t>
      </w:r>
      <w:proofErr w:type="spellEnd"/>
      <w:r w:rsidR="000734BD" w:rsidRPr="00A54E21">
        <w:rPr>
          <w:rFonts w:ascii="Arial" w:hAnsi="Arial" w:cs="Arial"/>
          <w:b/>
          <w:sz w:val="28"/>
          <w:szCs w:val="28"/>
        </w:rPr>
        <w:t xml:space="preserve"> </w:t>
      </w:r>
      <w:bookmarkStart w:id="0" w:name="_GoBack"/>
      <w:bookmarkEnd w:id="0"/>
      <w:r w:rsidR="000734BD" w:rsidRPr="00A54E21">
        <w:rPr>
          <w:rFonts w:ascii="Arial" w:hAnsi="Arial" w:cs="Arial"/>
          <w:b/>
          <w:sz w:val="28"/>
          <w:szCs w:val="28"/>
        </w:rPr>
        <w:t>for thyroid stimulating hormone</w:t>
      </w:r>
    </w:p>
    <w:p w:rsidR="00660096" w:rsidRPr="00A54E21" w:rsidRDefault="0010408D" w:rsidP="00660096">
      <w:pPr>
        <w:spacing w:line="360" w:lineRule="auto"/>
        <w:jc w:val="center"/>
        <w:rPr>
          <w:rFonts w:ascii="Arial" w:hAnsi="Arial" w:cs="Arial"/>
          <w:b/>
          <w:bCs/>
          <w:sz w:val="20"/>
          <w:szCs w:val="20"/>
          <w:vertAlign w:val="superscript"/>
        </w:rPr>
      </w:pPr>
      <w:r w:rsidRPr="00A54E21">
        <w:rPr>
          <w:rFonts w:ascii="Arial" w:hAnsi="Arial" w:cs="Arial"/>
          <w:b/>
          <w:bCs/>
          <w:sz w:val="20"/>
          <w:szCs w:val="20"/>
        </w:rPr>
        <w:t>Amrita Debnath</w:t>
      </w:r>
      <w:r w:rsidRPr="00A54E21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660096" w:rsidRPr="00A54E21">
        <w:rPr>
          <w:rFonts w:ascii="Arial" w:hAnsi="Arial" w:cs="Arial"/>
          <w:b/>
          <w:bCs/>
          <w:sz w:val="20"/>
          <w:szCs w:val="20"/>
        </w:rPr>
        <w:t>, Prathu Raja Parmar</w:t>
      </w:r>
      <w:r w:rsidR="00660096" w:rsidRPr="00A54E21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660096" w:rsidRPr="00A54E21">
        <w:rPr>
          <w:rFonts w:ascii="Arial" w:hAnsi="Arial" w:cs="Arial"/>
          <w:b/>
          <w:bCs/>
          <w:sz w:val="20"/>
          <w:szCs w:val="20"/>
        </w:rPr>
        <w:t xml:space="preserve">, </w:t>
      </w:r>
      <w:r w:rsidR="00660096" w:rsidRPr="00F818EA">
        <w:rPr>
          <w:rFonts w:ascii="Arial" w:hAnsi="Arial" w:cs="Arial"/>
          <w:b/>
          <w:bCs/>
          <w:sz w:val="20"/>
          <w:szCs w:val="20"/>
          <w:u w:val="single"/>
        </w:rPr>
        <w:t>Dipankar Bandyopadhyay</w:t>
      </w:r>
      <w:r w:rsidR="00660096" w:rsidRPr="00A54E21">
        <w:rPr>
          <w:rFonts w:ascii="Arial" w:hAnsi="Arial" w:cs="Arial"/>
          <w:b/>
          <w:bCs/>
          <w:sz w:val="20"/>
          <w:szCs w:val="20"/>
          <w:vertAlign w:val="superscript"/>
        </w:rPr>
        <w:t>1,2,3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1</w:t>
      </w:r>
      <w:r w:rsidRPr="00A54E21">
        <w:rPr>
          <w:rFonts w:ascii="Arial" w:hAnsi="Arial" w:cs="Arial"/>
          <w:sz w:val="20"/>
          <w:szCs w:val="20"/>
        </w:rPr>
        <w:t>Department of Chemical Engineering, Indian Institute of Technology Guwahati, Assam, India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2</w:t>
      </w:r>
      <w:r w:rsidRPr="00A54E21">
        <w:rPr>
          <w:rFonts w:ascii="Arial" w:hAnsi="Arial" w:cs="Arial"/>
          <w:sz w:val="20"/>
          <w:szCs w:val="20"/>
        </w:rPr>
        <w:t>Centre for Nanotechnology, Indian Institute of Technology Guwahati, Assam, India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3</w:t>
      </w:r>
      <w:r w:rsidRPr="00A54E21">
        <w:rPr>
          <w:rFonts w:ascii="Arial" w:hAnsi="Arial" w:cs="Arial"/>
          <w:sz w:val="20"/>
          <w:szCs w:val="20"/>
        </w:rPr>
        <w:t>School of Health Sciences and Technology, Indian Institute of Technology Guwahati, Assam, India</w:t>
      </w:r>
    </w:p>
    <w:p w:rsidR="00660096" w:rsidRDefault="00A54E21" w:rsidP="00A54E21">
      <w:pPr>
        <w:spacing w:line="240" w:lineRule="auto"/>
        <w:ind w:right="20"/>
        <w:jc w:val="center"/>
        <w:rPr>
          <w:rFonts w:ascii="Arial" w:eastAsia="Arial" w:hAnsi="Arial" w:cs="Arial"/>
          <w:i/>
          <w:sz w:val="20"/>
          <w:szCs w:val="20"/>
        </w:rPr>
      </w:pPr>
      <w:r w:rsidRPr="00A54E21">
        <w:rPr>
          <w:rFonts w:ascii="Arial" w:eastAsia="Arial" w:hAnsi="Arial" w:cs="Arial"/>
          <w:sz w:val="20"/>
          <w:szCs w:val="20"/>
        </w:rPr>
        <w:t>E-mail</w:t>
      </w:r>
      <w:r w:rsidR="00660096" w:rsidRPr="00A54E21">
        <w:rPr>
          <w:rFonts w:ascii="Arial" w:eastAsia="Arial" w:hAnsi="Arial" w:cs="Arial"/>
          <w:sz w:val="20"/>
          <w:szCs w:val="20"/>
        </w:rPr>
        <w:t xml:space="preserve">: </w:t>
      </w:r>
      <w:r w:rsidRPr="00F818EA">
        <w:rPr>
          <w:rFonts w:ascii="Arial" w:eastAsia="Arial" w:hAnsi="Arial" w:cs="Arial"/>
          <w:i/>
          <w:sz w:val="20"/>
          <w:szCs w:val="20"/>
        </w:rPr>
        <w:t>dipban@iitg.ac.in</w:t>
      </w:r>
    </w:p>
    <w:p w:rsidR="00A54E21" w:rsidRPr="00F818EA" w:rsidRDefault="00A54E21" w:rsidP="00A54E21">
      <w:pPr>
        <w:spacing w:line="240" w:lineRule="auto"/>
        <w:ind w:right="20"/>
        <w:jc w:val="center"/>
        <w:rPr>
          <w:rFonts w:ascii="Arial" w:eastAsia="Arial" w:hAnsi="Arial" w:cs="Arial"/>
          <w:sz w:val="20"/>
          <w:szCs w:val="20"/>
        </w:rPr>
      </w:pPr>
    </w:p>
    <w:p w:rsidR="00F818EA" w:rsidRPr="00F818EA" w:rsidRDefault="005C11FA" w:rsidP="00F818E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818EA">
        <w:rPr>
          <w:rFonts w:ascii="Times New Roman" w:hAnsi="Times New Roman" w:cs="Times New Roman"/>
          <w:b/>
          <w:sz w:val="24"/>
          <w:szCs w:val="24"/>
        </w:rPr>
        <w:t>Abstract</w:t>
      </w:r>
    </w:p>
    <w:p w:rsidR="00D258AD" w:rsidRPr="00A54E21" w:rsidRDefault="009E285C" w:rsidP="00075FF8">
      <w:pPr>
        <w:spacing w:line="240" w:lineRule="auto"/>
        <w:jc w:val="both"/>
        <w:rPr>
          <w:rFonts w:ascii="Times New Roman" w:hAnsi="Times New Roman" w:cs="Times New Roman"/>
          <w:sz w:val="20"/>
          <w:szCs w:val="20"/>
          <w:shd w:val="clear" w:color="auto" w:fill="FFFFFF"/>
        </w:rPr>
      </w:pPr>
      <w:r w:rsidRPr="00A54E21">
        <w:rPr>
          <w:rFonts w:ascii="Times New Roman" w:hAnsi="Times New Roman" w:cs="Times New Roman"/>
          <w:sz w:val="20"/>
          <w:szCs w:val="20"/>
        </w:rPr>
        <w:t xml:space="preserve">Diseases like hyperthyroidism and hypothyroidism </w:t>
      </w:r>
      <w:r w:rsidR="001B0D2A" w:rsidRPr="00A54E21">
        <w:rPr>
          <w:rFonts w:ascii="Times New Roman" w:hAnsi="Times New Roman" w:cs="Times New Roman"/>
          <w:sz w:val="20"/>
          <w:szCs w:val="20"/>
        </w:rPr>
        <w:t>depend</w:t>
      </w:r>
      <w:r w:rsidRPr="00A54E21">
        <w:rPr>
          <w:rFonts w:ascii="Times New Roman" w:hAnsi="Times New Roman" w:cs="Times New Roman"/>
          <w:sz w:val="20"/>
          <w:szCs w:val="20"/>
        </w:rPr>
        <w:t xml:space="preserve"> on the </w:t>
      </w:r>
      <w:r w:rsidR="00A652E5" w:rsidRPr="00A54E21">
        <w:rPr>
          <w:rFonts w:ascii="Times New Roman" w:hAnsi="Times New Roman" w:cs="Times New Roman"/>
          <w:sz w:val="20"/>
          <w:szCs w:val="20"/>
        </w:rPr>
        <w:t xml:space="preserve">thyroid stimulating hormone (TSH) level </w:t>
      </w:r>
      <w:r w:rsidRPr="00A54E21">
        <w:rPr>
          <w:rFonts w:ascii="Times New Roman" w:hAnsi="Times New Roman" w:cs="Times New Roman"/>
          <w:sz w:val="20"/>
          <w:szCs w:val="20"/>
        </w:rPr>
        <w:t>in serum or plasma. H</w:t>
      </w:r>
      <w:r w:rsidR="00914150" w:rsidRPr="00A54E21">
        <w:rPr>
          <w:rFonts w:ascii="Times New Roman" w:hAnsi="Times New Roman" w:cs="Times New Roman"/>
          <w:sz w:val="20"/>
          <w:szCs w:val="20"/>
        </w:rPr>
        <w:t>owever</w:t>
      </w:r>
      <w:r w:rsidRPr="00A54E21">
        <w:rPr>
          <w:rFonts w:ascii="Times New Roman" w:hAnsi="Times New Roman" w:cs="Times New Roman"/>
          <w:sz w:val="20"/>
          <w:szCs w:val="20"/>
        </w:rPr>
        <w:t xml:space="preserve">, </w:t>
      </w:r>
      <w:r w:rsidR="00A652E5" w:rsidRPr="00A54E21">
        <w:rPr>
          <w:rFonts w:ascii="Times New Roman" w:hAnsi="Times New Roman" w:cs="Times New Roman"/>
          <w:sz w:val="20"/>
          <w:szCs w:val="20"/>
        </w:rPr>
        <w:t>determining</w:t>
      </w:r>
      <w:r w:rsidRPr="00A54E21">
        <w:rPr>
          <w:rFonts w:ascii="Times New Roman" w:hAnsi="Times New Roman" w:cs="Times New Roman"/>
          <w:sz w:val="20"/>
          <w:szCs w:val="20"/>
        </w:rPr>
        <w:t xml:space="preserve"> the same is a challeng</w:t>
      </w:r>
      <w:r w:rsidR="006F065D" w:rsidRPr="00A54E21">
        <w:rPr>
          <w:rFonts w:ascii="Times New Roman" w:hAnsi="Times New Roman" w:cs="Times New Roman"/>
          <w:sz w:val="20"/>
          <w:szCs w:val="20"/>
        </w:rPr>
        <w:t>e</w:t>
      </w:r>
      <w:r w:rsidRPr="00A54E21">
        <w:rPr>
          <w:rFonts w:ascii="Times New Roman" w:hAnsi="Times New Roman" w:cs="Times New Roman"/>
          <w:sz w:val="20"/>
          <w:szCs w:val="20"/>
        </w:rPr>
        <w:t xml:space="preserve"> </w:t>
      </w:r>
      <w:r w:rsidR="00A652E5" w:rsidRPr="00A54E21">
        <w:rPr>
          <w:rFonts w:ascii="Times New Roman" w:hAnsi="Times New Roman" w:cs="Times New Roman"/>
          <w:sz w:val="20"/>
          <w:szCs w:val="20"/>
        </w:rPr>
        <w:t>in</w:t>
      </w:r>
      <w:r w:rsidRPr="00A54E21">
        <w:rPr>
          <w:rFonts w:ascii="Times New Roman" w:hAnsi="Times New Roman" w:cs="Times New Roman"/>
          <w:sz w:val="20"/>
          <w:szCs w:val="20"/>
        </w:rPr>
        <w:t xml:space="preserve"> </w:t>
      </w:r>
      <w:r w:rsidR="001B0D2A" w:rsidRPr="00A54E21">
        <w:rPr>
          <w:rFonts w:ascii="Times New Roman" w:hAnsi="Times New Roman" w:cs="Times New Roman"/>
          <w:sz w:val="20"/>
          <w:szCs w:val="20"/>
        </w:rPr>
        <w:t>diagnosis</w:t>
      </w:r>
      <w:r w:rsidRPr="00A54E21">
        <w:rPr>
          <w:rFonts w:ascii="Times New Roman" w:hAnsi="Times New Roman" w:cs="Times New Roman"/>
          <w:sz w:val="20"/>
          <w:szCs w:val="20"/>
        </w:rPr>
        <w:t>.</w:t>
      </w:r>
      <w:r w:rsidR="00FC6794" w:rsidRPr="00A54E21">
        <w:rPr>
          <w:rFonts w:ascii="Times New Roman" w:hAnsi="Times New Roman" w:cs="Times New Roman"/>
          <w:sz w:val="20"/>
          <w:szCs w:val="20"/>
        </w:rPr>
        <w:t xml:space="preserve"> </w:t>
      </w:r>
      <w:r w:rsidR="005C11FA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Synthesized </w:t>
      </w:r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gold nanoparticles</w:t>
      </w:r>
      <w:r w:rsidR="00B06C6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(</w:t>
      </w:r>
      <w:proofErr w:type="spellStart"/>
      <w:r w:rsidR="00B06C6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AuNPs</w:t>
      </w:r>
      <w:proofErr w:type="spellEnd"/>
      <w:r w:rsidR="00B06C6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)</w:t>
      </w:r>
      <w:r w:rsidR="008A01F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</w:t>
      </w:r>
      <w:r w:rsidR="00914150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are </w:t>
      </w:r>
      <w:r w:rsidR="008A01F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coated with TSH </w:t>
      </w:r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antibodies</w:t>
      </w:r>
      <w:r w:rsidR="008A01F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using a linker </w:t>
      </w:r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and poured into a cuvette. The solution</w:t>
      </w:r>
      <w:r w:rsidR="008A01F6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showed a specific </w:t>
      </w:r>
      <w:proofErr w:type="spellStart"/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color</w:t>
      </w:r>
      <w:proofErr w:type="spellEnd"/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due to the LSPR phenomenon of </w:t>
      </w:r>
      <w:proofErr w:type="spellStart"/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AuNPs</w:t>
      </w:r>
      <w:proofErr w:type="spellEnd"/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.</w:t>
      </w:r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Further, </w:t>
      </w:r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the </w:t>
      </w:r>
      <w:proofErr w:type="spellStart"/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analyte</w:t>
      </w:r>
      <w:proofErr w:type="spellEnd"/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loaded with TSH antigen </w:t>
      </w:r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is </w:t>
      </w:r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dispensed in that cuvette containing the </w:t>
      </w:r>
      <w:proofErr w:type="spellStart"/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colored</w:t>
      </w:r>
      <w:proofErr w:type="spellEnd"/>
      <w:r w:rsidR="009E168F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suspension. </w:t>
      </w:r>
      <w:r w:rsidR="009E168F" w:rsidRPr="00A54E21">
        <w:rPr>
          <w:rFonts w:ascii="Times New Roman" w:hAnsi="Times New Roman" w:cs="Times New Roman"/>
          <w:sz w:val="20"/>
          <w:szCs w:val="20"/>
        </w:rPr>
        <w:t>Subsequently, this pr</w:t>
      </w:r>
      <w:r w:rsidR="001B0D2A" w:rsidRPr="00A54E21">
        <w:rPr>
          <w:rFonts w:ascii="Times New Roman" w:hAnsi="Times New Roman" w:cs="Times New Roman"/>
          <w:sz w:val="20"/>
          <w:szCs w:val="20"/>
        </w:rPr>
        <w:t>ocess le</w:t>
      </w:r>
      <w:r w:rsidR="005C11FA" w:rsidRPr="00A54E21">
        <w:rPr>
          <w:rFonts w:ascii="Times New Roman" w:hAnsi="Times New Roman" w:cs="Times New Roman"/>
          <w:sz w:val="20"/>
          <w:szCs w:val="20"/>
        </w:rPr>
        <w:t>a</w:t>
      </w:r>
      <w:r w:rsidR="001B0D2A" w:rsidRPr="00A54E21">
        <w:rPr>
          <w:rFonts w:ascii="Times New Roman" w:hAnsi="Times New Roman" w:cs="Times New Roman"/>
          <w:sz w:val="20"/>
          <w:szCs w:val="20"/>
        </w:rPr>
        <w:t>d</w:t>
      </w:r>
      <w:r w:rsidR="005C11FA" w:rsidRPr="00A54E21">
        <w:rPr>
          <w:rFonts w:ascii="Times New Roman" w:hAnsi="Times New Roman" w:cs="Times New Roman"/>
          <w:sz w:val="20"/>
          <w:szCs w:val="20"/>
        </w:rPr>
        <w:t>s</w:t>
      </w:r>
      <w:r w:rsidR="001B0D2A" w:rsidRPr="00A54E21">
        <w:rPr>
          <w:rFonts w:ascii="Times New Roman" w:hAnsi="Times New Roman" w:cs="Times New Roman"/>
          <w:sz w:val="20"/>
          <w:szCs w:val="20"/>
        </w:rPr>
        <w:t xml:space="preserve"> to a specific antigen-</w:t>
      </w:r>
      <w:r w:rsidR="009E168F" w:rsidRPr="00A54E21">
        <w:rPr>
          <w:rFonts w:ascii="Times New Roman" w:hAnsi="Times New Roman" w:cs="Times New Roman"/>
          <w:sz w:val="20"/>
          <w:szCs w:val="20"/>
        </w:rPr>
        <w:t xml:space="preserve">antibody interaction justified by </w:t>
      </w:r>
      <w:r w:rsidR="00D230B9">
        <w:rPr>
          <w:rFonts w:ascii="Times New Roman" w:hAnsi="Times New Roman" w:cs="Times New Roman"/>
          <w:sz w:val="20"/>
          <w:szCs w:val="20"/>
        </w:rPr>
        <w:t xml:space="preserve">a </w:t>
      </w:r>
      <w:r w:rsidR="001B0D2A" w:rsidRPr="00A54E21">
        <w:rPr>
          <w:rFonts w:ascii="Times New Roman" w:hAnsi="Times New Roman" w:cs="Times New Roman"/>
          <w:sz w:val="20"/>
          <w:szCs w:val="20"/>
        </w:rPr>
        <w:t>peak shift</w:t>
      </w:r>
      <w:r w:rsidR="00345562" w:rsidRPr="00A54E21">
        <w:rPr>
          <w:rFonts w:ascii="Times New Roman" w:hAnsi="Times New Roman" w:cs="Times New Roman"/>
          <w:sz w:val="20"/>
          <w:szCs w:val="20"/>
        </w:rPr>
        <w:t xml:space="preserve"> with the change in </w:t>
      </w:r>
      <w:proofErr w:type="spellStart"/>
      <w:r w:rsidR="00345562" w:rsidRPr="00A54E21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="00345562" w:rsidRPr="00A54E21">
        <w:rPr>
          <w:rFonts w:ascii="Times New Roman" w:hAnsi="Times New Roman" w:cs="Times New Roman"/>
          <w:sz w:val="20"/>
          <w:szCs w:val="20"/>
        </w:rPr>
        <w:t xml:space="preserve"> intensity</w:t>
      </w:r>
      <w:r w:rsidR="009E168F" w:rsidRPr="00A54E21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D230B9">
        <w:rPr>
          <w:rFonts w:ascii="Times New Roman" w:hAnsi="Times New Roman" w:cs="Times New Roman"/>
          <w:sz w:val="20"/>
          <w:szCs w:val="20"/>
        </w:rPr>
        <w:t>AuNPs</w:t>
      </w:r>
      <w:proofErr w:type="spellEnd"/>
      <w:r w:rsidR="00D230B9">
        <w:rPr>
          <w:rFonts w:ascii="Times New Roman" w:hAnsi="Times New Roman" w:cs="Times New Roman"/>
          <w:sz w:val="20"/>
          <w:szCs w:val="20"/>
        </w:rPr>
        <w:t xml:space="preserve"> coated with linker and antigen-antibody reaction</w:t>
      </w:r>
      <w:r w:rsidR="00C543F6">
        <w:rPr>
          <w:rFonts w:ascii="Times New Roman" w:hAnsi="Times New Roman" w:cs="Times New Roman"/>
          <w:sz w:val="20"/>
          <w:szCs w:val="20"/>
        </w:rPr>
        <w:t>,</w:t>
      </w:r>
      <w:r w:rsidR="00D230B9">
        <w:rPr>
          <w:rFonts w:ascii="Times New Roman" w:hAnsi="Times New Roman" w:cs="Times New Roman"/>
          <w:sz w:val="20"/>
          <w:szCs w:val="20"/>
        </w:rPr>
        <w:t xml:space="preserve"> as shown in figure 1. </w:t>
      </w:r>
      <w:r w:rsidR="005C11FA" w:rsidRPr="00A54E21">
        <w:rPr>
          <w:rFonts w:ascii="Times New Roman" w:hAnsi="Times New Roman" w:cs="Times New Roman"/>
          <w:sz w:val="20"/>
          <w:szCs w:val="20"/>
        </w:rPr>
        <w:t xml:space="preserve">The sensing principle is based on the phenomenon of peak shifting of the localized surface </w:t>
      </w:r>
      <w:proofErr w:type="spellStart"/>
      <w:r w:rsidR="005C11FA" w:rsidRPr="00A54E21">
        <w:rPr>
          <w:rFonts w:ascii="Times New Roman" w:hAnsi="Times New Roman" w:cs="Times New Roman"/>
          <w:sz w:val="20"/>
          <w:szCs w:val="20"/>
        </w:rPr>
        <w:t>plasmon</w:t>
      </w:r>
      <w:proofErr w:type="spellEnd"/>
      <w:r w:rsidR="005C11FA" w:rsidRPr="00A54E21">
        <w:rPr>
          <w:rFonts w:ascii="Times New Roman" w:hAnsi="Times New Roman" w:cs="Times New Roman"/>
          <w:sz w:val="20"/>
          <w:szCs w:val="20"/>
        </w:rPr>
        <w:t xml:space="preserve"> resonance (LSPR) absorption maxima. </w:t>
      </w:r>
      <w:r w:rsidR="00345562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Importantly, </w:t>
      </w:r>
      <w:r w:rsidR="00D771B1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Raman signals showed</w:t>
      </w:r>
      <w:r w:rsidR="00A652E5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</w:t>
      </w:r>
      <w:r w:rsidR="00345562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that </w:t>
      </w:r>
      <w:r w:rsidR="00D771B1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t</w:t>
      </w:r>
      <w:r w:rsidR="00D771B1" w:rsidRPr="00A54E21">
        <w:rPr>
          <w:rFonts w:ascii="Times New Roman" w:hAnsi="Times New Roman" w:cs="Times New Roman"/>
          <w:sz w:val="20"/>
          <w:szCs w:val="20"/>
        </w:rPr>
        <w:t xml:space="preserve">he peaks for the antigen on antibody-linker-AuNPs and the antibody on linker-AuNPs are enhanced in the presence of </w:t>
      </w:r>
      <w:proofErr w:type="spellStart"/>
      <w:r w:rsidR="00D771B1" w:rsidRPr="00A54E21">
        <w:rPr>
          <w:rFonts w:ascii="Times New Roman" w:hAnsi="Times New Roman" w:cs="Times New Roman"/>
          <w:sz w:val="20"/>
          <w:szCs w:val="20"/>
        </w:rPr>
        <w:t>AuNPs</w:t>
      </w:r>
      <w:proofErr w:type="spellEnd"/>
      <w:r w:rsidR="00A652E5" w:rsidRPr="00A54E21">
        <w:rPr>
          <w:rFonts w:ascii="Times New Roman" w:hAnsi="Times New Roman" w:cs="Times New Roman"/>
          <w:sz w:val="20"/>
          <w:szCs w:val="20"/>
        </w:rPr>
        <w:t>,</w:t>
      </w:r>
      <w:r w:rsidR="00D771B1" w:rsidRPr="00A54E21">
        <w:rPr>
          <w:rFonts w:ascii="Times New Roman" w:hAnsi="Times New Roman" w:cs="Times New Roman"/>
          <w:sz w:val="20"/>
          <w:szCs w:val="20"/>
        </w:rPr>
        <w:t xml:space="preserve"> which can be inferred </w:t>
      </w:r>
      <w:r w:rsidR="00A652E5" w:rsidRPr="00A54E21">
        <w:rPr>
          <w:rFonts w:ascii="Times New Roman" w:hAnsi="Times New Roman" w:cs="Times New Roman"/>
          <w:sz w:val="20"/>
          <w:szCs w:val="20"/>
        </w:rPr>
        <w:t>from</w:t>
      </w:r>
      <w:r w:rsidR="00D771B1" w:rsidRPr="00A54E21">
        <w:rPr>
          <w:rFonts w:ascii="Times New Roman" w:hAnsi="Times New Roman" w:cs="Times New Roman"/>
          <w:sz w:val="20"/>
          <w:szCs w:val="20"/>
        </w:rPr>
        <w:t xml:space="preserve"> the LSPR of AuNPs.</w:t>
      </w:r>
      <w:r w:rsidR="00952ABD" w:rsidRPr="00A54E21">
        <w:rPr>
          <w:rFonts w:ascii="Times New Roman" w:hAnsi="Times New Roman" w:cs="Times New Roman"/>
          <w:sz w:val="20"/>
          <w:szCs w:val="20"/>
        </w:rPr>
        <w:t xml:space="preserve"> </w:t>
      </w:r>
      <w:r w:rsidR="00951244" w:rsidRPr="00A54E21">
        <w:rPr>
          <w:rFonts w:ascii="Times New Roman" w:hAnsi="Times New Roman" w:cs="Times New Roman"/>
          <w:sz w:val="20"/>
          <w:szCs w:val="20"/>
        </w:rPr>
        <w:t xml:space="preserve">Notably, </w:t>
      </w:r>
      <w:r w:rsidR="00951244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t</w:t>
      </w:r>
      <w:r w:rsidR="00D258A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he variation in the </w:t>
      </w:r>
      <w:proofErr w:type="spellStart"/>
      <w:r w:rsidR="00D258A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color</w:t>
      </w:r>
      <w:proofErr w:type="spellEnd"/>
      <w:r w:rsidR="00D258A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intensity of suspension has been measured by a light intensity detector </w:t>
      </w:r>
      <w:r w:rsidR="00951244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present on </w:t>
      </w:r>
      <w:r w:rsidR="00D258A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one side of the cuvette and an LED on another side. The light intensity varies with the change in the intensity of the transmitted ray when the loading of </w:t>
      </w:r>
      <w:proofErr w:type="spellStart"/>
      <w:r w:rsidR="00D258A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analyte</w:t>
      </w:r>
      <w:proofErr w:type="spellEnd"/>
      <w:r w:rsidR="00D258A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is varied. A calibration curve is obtained from the known samples, which is employed to detect the unknown TSH level. </w:t>
      </w:r>
      <w:r w:rsidR="009012A9" w:rsidRPr="00A54E21">
        <w:rPr>
          <w:rFonts w:ascii="Times New Roman" w:hAnsi="Times New Roman" w:cs="Times New Roman"/>
          <w:sz w:val="20"/>
          <w:szCs w:val="20"/>
        </w:rPr>
        <w:t xml:space="preserve">The </w:t>
      </w:r>
      <w:r w:rsidR="007144A4" w:rsidRPr="00A54E21">
        <w:rPr>
          <w:rFonts w:ascii="Times New Roman" w:hAnsi="Times New Roman" w:cs="Times New Roman"/>
          <w:sz w:val="20"/>
          <w:szCs w:val="20"/>
        </w:rPr>
        <w:t xml:space="preserve">simple, rapid, sensitive, and portable </w:t>
      </w:r>
      <w:r w:rsidR="00BA7587" w:rsidRPr="00A54E21">
        <w:rPr>
          <w:rFonts w:ascii="Times New Roman" w:hAnsi="Times New Roman" w:cs="Times New Roman"/>
          <w:sz w:val="20"/>
          <w:szCs w:val="20"/>
        </w:rPr>
        <w:t>colorimetric-based</w:t>
      </w:r>
      <w:r w:rsidR="007144A4" w:rsidRPr="00A54E21">
        <w:rPr>
          <w:rFonts w:ascii="Times New Roman" w:hAnsi="Times New Roman" w:cs="Times New Roman"/>
          <w:sz w:val="20"/>
          <w:szCs w:val="20"/>
        </w:rPr>
        <w:t xml:space="preserve"> </w:t>
      </w:r>
      <w:r w:rsidR="009012A9" w:rsidRPr="00A54E21">
        <w:rPr>
          <w:rFonts w:ascii="Times New Roman" w:hAnsi="Times New Roman" w:cs="Times New Roman"/>
          <w:sz w:val="20"/>
          <w:szCs w:val="20"/>
        </w:rPr>
        <w:t xml:space="preserve">device is developed </w:t>
      </w:r>
      <w:r w:rsidR="007144A4" w:rsidRPr="00A54E21">
        <w:rPr>
          <w:rFonts w:ascii="Times New Roman" w:hAnsi="Times New Roman" w:cs="Times New Roman"/>
          <w:sz w:val="20"/>
          <w:szCs w:val="20"/>
        </w:rPr>
        <w:t>for determining TSH in blood serum.</w:t>
      </w:r>
      <w:r w:rsidR="009012A9" w:rsidRPr="00A54E21">
        <w:rPr>
          <w:rFonts w:ascii="Times New Roman" w:hAnsi="Times New Roman" w:cs="Times New Roman"/>
          <w:sz w:val="20"/>
          <w:szCs w:val="20"/>
        </w:rPr>
        <w:t xml:space="preserve"> </w:t>
      </w:r>
      <w:r w:rsidR="009012A9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>This can be used as a novel sensing strategy for determining TSH in human blood serum.</w:t>
      </w:r>
    </w:p>
    <w:p w:rsidR="005C11FA" w:rsidRPr="00DE7F1B" w:rsidRDefault="00B06C66" w:rsidP="00075FF8">
      <w:pPr>
        <w:spacing w:line="240" w:lineRule="auto"/>
        <w:jc w:val="both"/>
        <w:rPr>
          <w:rFonts w:ascii="Times New Roman" w:hAnsi="Times New Roman" w:cs="Times New Roman"/>
        </w:rPr>
      </w:pPr>
      <w:r w:rsidRPr="00A54E21">
        <w:rPr>
          <w:rFonts w:ascii="Times New Roman" w:hAnsi="Times New Roman" w:cs="Times New Roman"/>
          <w:b/>
          <w:sz w:val="20"/>
          <w:szCs w:val="20"/>
          <w:shd w:val="clear" w:color="auto" w:fill="FFFFFF"/>
        </w:rPr>
        <w:t>Keywords:</w:t>
      </w:r>
      <w:r w:rsidRPr="00DE7F1B">
        <w:rPr>
          <w:rFonts w:ascii="Times New Roman" w:hAnsi="Times New Roman" w:cs="Times New Roman"/>
          <w:b/>
          <w:shd w:val="clear" w:color="auto" w:fill="FFFFFF"/>
        </w:rPr>
        <w:t xml:space="preserve"> </w:t>
      </w:r>
      <w:r w:rsidR="0010408D" w:rsidRPr="00A54E21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gold nanoparticles, </w:t>
      </w:r>
      <w:r w:rsidR="0010408D" w:rsidRPr="00A54E21">
        <w:rPr>
          <w:rFonts w:ascii="Times New Roman" w:hAnsi="Times New Roman" w:cs="Times New Roman"/>
          <w:sz w:val="20"/>
          <w:szCs w:val="20"/>
        </w:rPr>
        <w:t xml:space="preserve">thyroid stimulating hormone, antigen, antibody, </w:t>
      </w:r>
      <w:r w:rsidR="00A54E21">
        <w:rPr>
          <w:rFonts w:ascii="Times New Roman" w:hAnsi="Times New Roman" w:cs="Times New Roman"/>
          <w:sz w:val="20"/>
          <w:szCs w:val="20"/>
        </w:rPr>
        <w:t xml:space="preserve">localized </w:t>
      </w:r>
      <w:r w:rsidR="0010408D" w:rsidRPr="00A54E21">
        <w:rPr>
          <w:rFonts w:ascii="Times New Roman" w:hAnsi="Times New Roman" w:cs="Times New Roman"/>
          <w:sz w:val="20"/>
          <w:szCs w:val="20"/>
        </w:rPr>
        <w:t xml:space="preserve">surface </w:t>
      </w:r>
      <w:proofErr w:type="spellStart"/>
      <w:r w:rsidR="0010408D" w:rsidRPr="00A54E21">
        <w:rPr>
          <w:rFonts w:ascii="Times New Roman" w:hAnsi="Times New Roman" w:cs="Times New Roman"/>
          <w:sz w:val="20"/>
          <w:szCs w:val="20"/>
        </w:rPr>
        <w:t>plasmon</w:t>
      </w:r>
      <w:proofErr w:type="spellEnd"/>
      <w:r w:rsidR="0010408D" w:rsidRPr="00A54E21">
        <w:rPr>
          <w:rFonts w:ascii="Times New Roman" w:hAnsi="Times New Roman" w:cs="Times New Roman"/>
          <w:sz w:val="20"/>
          <w:szCs w:val="20"/>
        </w:rPr>
        <w:t xml:space="preserve"> resonance</w:t>
      </w:r>
      <w:r w:rsidR="0010408D" w:rsidRPr="00DE7F1B">
        <w:rPr>
          <w:rFonts w:ascii="Times New Roman" w:hAnsi="Times New Roman" w:cs="Times New Roman"/>
        </w:rPr>
        <w:t xml:space="preserve"> </w:t>
      </w:r>
    </w:p>
    <w:p w:rsidR="005C11FA" w:rsidRPr="00B06C66" w:rsidRDefault="005C11FA" w:rsidP="00D258A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DF1F23" w:rsidRDefault="005C11FA" w:rsidP="00DF1F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en-IN"/>
        </w:rPr>
        <w:drawing>
          <wp:inline distT="0" distB="0" distL="0" distR="0">
            <wp:extent cx="5731510" cy="22390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 FINAL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23" w:rsidRPr="00DF1F23" w:rsidRDefault="00DF1F23" w:rsidP="00044134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  <w:shd w:val="clear" w:color="auto" w:fill="FFFFFF"/>
        </w:rPr>
      </w:pPr>
      <w:r w:rsidRPr="00DF1F23">
        <w:rPr>
          <w:rFonts w:ascii="Times New Roman" w:hAnsi="Times New Roman" w:cs="Times New Roman"/>
          <w:b/>
          <w:sz w:val="20"/>
          <w:szCs w:val="20"/>
          <w:shd w:val="clear" w:color="auto" w:fill="FFFFFF"/>
        </w:rPr>
        <w:t>Figure 1.</w:t>
      </w:r>
      <w:r w:rsidRPr="00DF1F23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Schematic illustration of thyroid stimulating hormone </w:t>
      </w:r>
      <w:proofErr w:type="spellStart"/>
      <w:r w:rsidRPr="00DF1F23">
        <w:rPr>
          <w:rFonts w:ascii="Times New Roman" w:hAnsi="Times New Roman" w:cs="Times New Roman"/>
          <w:sz w:val="20"/>
          <w:szCs w:val="20"/>
          <w:shd w:val="clear" w:color="auto" w:fill="FFFFFF"/>
        </w:rPr>
        <w:t>immunosensor</w:t>
      </w:r>
      <w:proofErr w:type="spellEnd"/>
      <w:r w:rsidRPr="00DF1F23">
        <w:rPr>
          <w:rFonts w:ascii="Times New Roman" w:hAnsi="Times New Roman" w:cs="Times New Roman"/>
          <w:sz w:val="20"/>
          <w:szCs w:val="20"/>
          <w:shd w:val="clear" w:color="auto" w:fill="FFFFFF"/>
        </w:rPr>
        <w:t>.</w:t>
      </w:r>
    </w:p>
    <w:sectPr w:rsidR="00DF1F23" w:rsidRPr="00DF1F23" w:rsidSect="00F818EA">
      <w:headerReference w:type="default" r:id="rId8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5FBA" w:rsidRDefault="00A45FBA" w:rsidP="00044134">
      <w:pPr>
        <w:spacing w:after="0" w:line="240" w:lineRule="auto"/>
      </w:pPr>
      <w:r>
        <w:separator/>
      </w:r>
    </w:p>
  </w:endnote>
  <w:endnote w:type="continuationSeparator" w:id="0">
    <w:p w:rsidR="00A45FBA" w:rsidRDefault="00A45FBA" w:rsidP="00044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5FBA" w:rsidRDefault="00A45FBA" w:rsidP="00044134">
      <w:pPr>
        <w:spacing w:after="0" w:line="240" w:lineRule="auto"/>
      </w:pPr>
      <w:r>
        <w:separator/>
      </w:r>
    </w:p>
  </w:footnote>
  <w:footnote w:type="continuationSeparator" w:id="0">
    <w:p w:rsidR="00A45FBA" w:rsidRDefault="00A45FBA" w:rsidP="00044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4134" w:rsidRDefault="00044134" w:rsidP="00044134">
    <w:pPr>
      <w:pStyle w:val="Header"/>
      <w:jc w:val="center"/>
    </w:pPr>
    <w:r>
      <w:rPr>
        <w:noProof/>
        <w:lang w:eastAsia="en-IN"/>
      </w:rPr>
      <w:drawing>
        <wp:inline distT="0" distB="0" distL="0" distR="0">
          <wp:extent cx="1809750" cy="598805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598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044134" w:rsidRDefault="000441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85C"/>
    <w:rsid w:val="00044134"/>
    <w:rsid w:val="000734BD"/>
    <w:rsid w:val="00075FF8"/>
    <w:rsid w:val="0010408D"/>
    <w:rsid w:val="001B0D2A"/>
    <w:rsid w:val="00345562"/>
    <w:rsid w:val="005C11FA"/>
    <w:rsid w:val="00660096"/>
    <w:rsid w:val="006F065D"/>
    <w:rsid w:val="007144A4"/>
    <w:rsid w:val="007F619B"/>
    <w:rsid w:val="00851F02"/>
    <w:rsid w:val="008A01F6"/>
    <w:rsid w:val="009012A9"/>
    <w:rsid w:val="00914150"/>
    <w:rsid w:val="00951244"/>
    <w:rsid w:val="00952ABD"/>
    <w:rsid w:val="009E168F"/>
    <w:rsid w:val="009E285C"/>
    <w:rsid w:val="00A45FBA"/>
    <w:rsid w:val="00A54E21"/>
    <w:rsid w:val="00A652E5"/>
    <w:rsid w:val="00AA6CA7"/>
    <w:rsid w:val="00B06C66"/>
    <w:rsid w:val="00BA7587"/>
    <w:rsid w:val="00C331B5"/>
    <w:rsid w:val="00C543F6"/>
    <w:rsid w:val="00D230B9"/>
    <w:rsid w:val="00D258AD"/>
    <w:rsid w:val="00D771B1"/>
    <w:rsid w:val="00DE7F1B"/>
    <w:rsid w:val="00DF1F23"/>
    <w:rsid w:val="00F70377"/>
    <w:rsid w:val="00F818EA"/>
    <w:rsid w:val="00FC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47E823F"/>
  <w15:chartTrackingRefBased/>
  <w15:docId w15:val="{33D3E824-FBEB-44B8-8555-ABCA9694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54E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441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134"/>
  </w:style>
  <w:style w:type="paragraph" w:styleId="Footer">
    <w:name w:val="footer"/>
    <w:basedOn w:val="Normal"/>
    <w:link w:val="FooterChar"/>
    <w:uiPriority w:val="99"/>
    <w:unhideWhenUsed/>
    <w:rsid w:val="000441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1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BFBF0-B822-45F5-90BC-9DE070A36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378</Words>
  <Characters>1934</Characters>
  <Application>Microsoft Office Word</Application>
  <DocSecurity>0</DocSecurity>
  <Lines>56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SIVANANDA ACHARYA</dc:creator>
  <cp:keywords/>
  <dc:description/>
  <cp:lastModifiedBy>Prathu Raja Parmar</cp:lastModifiedBy>
  <cp:revision>4</cp:revision>
  <dcterms:created xsi:type="dcterms:W3CDTF">2023-04-15T10:39:00Z</dcterms:created>
  <dcterms:modified xsi:type="dcterms:W3CDTF">2023-04-15T10:57:00Z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5b2e6a690f83a47bf1b54d30da9479dc8ba2fb0c3bb8073031369aae4d1b87f8</vt:lpwstr>
  </property>
</Properties>
</file>